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39" w:rsidRDefault="00703B39" w:rsidP="00703B39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color w:val="000000"/>
          <w:kern w:val="0"/>
          <w:sz w:val="56"/>
          <w:szCs w:val="56"/>
        </w:rPr>
      </w:pPr>
    </w:p>
    <w:p w:rsidR="00703B39" w:rsidRDefault="00703B39" w:rsidP="00703B39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</w:p>
    <w:p w:rsidR="00703B39" w:rsidRPr="005F5304" w:rsidRDefault="00703B39" w:rsidP="00703B39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703B39" w:rsidRPr="009F58D4" w:rsidRDefault="00703B39" w:rsidP="00703B39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甬鄞少科协【2018】8号</w:t>
      </w:r>
    </w:p>
    <w:p w:rsidR="00703B39" w:rsidRDefault="00703B39" w:rsidP="00703B39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/>
          <w:noProof/>
          <w:color w:val="000000"/>
          <w:kern w:val="0"/>
          <w:sz w:val="32"/>
          <w:szCs w:val="32"/>
        </w:rPr>
        <w:pict>
          <v:line id="_x0000_s1026" style="position:absolute;left:0;text-align:left;z-index:251658240" from="-17.35pt,3.65pt" to="441.65pt,3.65pt" strokecolor="red" strokeweight="2pt"/>
        </w:pict>
      </w:r>
    </w:p>
    <w:p w:rsidR="00262484" w:rsidRPr="00262484" w:rsidRDefault="00262484" w:rsidP="00262484">
      <w:pPr>
        <w:widowControl/>
        <w:shd w:val="clear" w:color="auto" w:fill="FFFFFF"/>
        <w:spacing w:after="150" w:line="600" w:lineRule="atLeast"/>
        <w:ind w:left="150" w:right="150"/>
        <w:jc w:val="center"/>
        <w:outlineLvl w:val="1"/>
        <w:rPr>
          <w:rFonts w:ascii="微软雅黑" w:eastAsia="微软雅黑" w:hAnsi="微软雅黑" w:cs="宋体"/>
          <w:b/>
          <w:bCs/>
          <w:color w:val="424347"/>
          <w:kern w:val="0"/>
          <w:sz w:val="32"/>
          <w:szCs w:val="32"/>
        </w:rPr>
      </w:pPr>
      <w:r w:rsidRPr="0024572F">
        <w:rPr>
          <w:rFonts w:ascii="微软雅黑" w:eastAsia="微软雅黑" w:hAnsi="微软雅黑" w:cs="宋体" w:hint="eastAsia"/>
          <w:b/>
          <w:bCs/>
          <w:color w:val="424347"/>
          <w:kern w:val="0"/>
          <w:sz w:val="32"/>
          <w:szCs w:val="32"/>
        </w:rPr>
        <w:t>关于举办2018年鄞州区青少年“烈风”遥控车联赛</w:t>
      </w:r>
    </w:p>
    <w:p w:rsidR="00262484" w:rsidRDefault="00262484" w:rsidP="00262484">
      <w:pPr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424347"/>
          <w:kern w:val="0"/>
          <w:sz w:val="30"/>
          <w:szCs w:val="30"/>
        </w:rPr>
      </w:pPr>
      <w:r w:rsidRPr="00262484">
        <w:rPr>
          <w:rFonts w:ascii="微软雅黑" w:eastAsia="微软雅黑" w:hAnsi="微软雅黑" w:cs="宋体" w:hint="eastAsia"/>
          <w:b/>
          <w:bCs/>
          <w:color w:val="424347"/>
          <w:kern w:val="0"/>
          <w:sz w:val="32"/>
          <w:szCs w:val="32"/>
        </w:rPr>
        <w:t>王笙舲</w:t>
      </w:r>
      <w:r w:rsidRPr="0024572F">
        <w:rPr>
          <w:rFonts w:ascii="微软雅黑" w:eastAsia="微软雅黑" w:hAnsi="微软雅黑" w:cs="宋体" w:hint="eastAsia"/>
          <w:b/>
          <w:bCs/>
          <w:color w:val="424347"/>
          <w:kern w:val="0"/>
          <w:sz w:val="32"/>
          <w:szCs w:val="32"/>
        </w:rPr>
        <w:t>小学站比赛的通知</w:t>
      </w:r>
    </w:p>
    <w:p w:rsidR="00205638" w:rsidRPr="00205638" w:rsidRDefault="00205638" w:rsidP="00262484">
      <w:pPr>
        <w:shd w:val="clear" w:color="auto" w:fill="FFFFFF"/>
        <w:rPr>
          <w:rFonts w:ascii="黑体" w:eastAsia="黑体" w:hAnsi="黑体" w:cs="宋体"/>
          <w:color w:val="000000"/>
          <w:sz w:val="32"/>
          <w:szCs w:val="32"/>
        </w:rPr>
      </w:pPr>
      <w:r w:rsidRPr="00205638">
        <w:rPr>
          <w:rFonts w:ascii="黑体" w:eastAsia="黑体" w:hAnsi="黑体" w:cs="宋体" w:hint="eastAsia"/>
          <w:color w:val="000000"/>
          <w:sz w:val="32"/>
          <w:szCs w:val="32"/>
        </w:rPr>
        <w:t>各初中、小学、社会力量办学校：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为开发学生智力,培养学生实践能力,提高学生科技素养,丰富校园科技文化,经研究决定,将举行2018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年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鄞州区“烈风”遥控车联赛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第二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站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王笙舲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小学站竞赛。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一、组织单位:鄞州区青少年科技辅导员协会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二、承办单位:鄞州区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王笙舲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小学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三、比赛时间:2018年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6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月5日(星期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二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)下午1:00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四、比赛地点: 鄞州区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云龙镇王笙舲小学站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五、参赛机型:限用“烈风”1/22遥控赛车竞赛专用的模型套材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六、竞赛规则: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992603" cy="3286125"/>
            <wp:effectExtent l="19050" t="0" r="0" b="0"/>
            <wp:docPr id="4" name="图片 2" descr="中天40赛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天40赛道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003" cy="329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/>
          <w:sz w:val="32"/>
          <w:szCs w:val="32"/>
        </w:rPr>
      </w:pPr>
      <w:r w:rsidRPr="00205638">
        <w:rPr>
          <w:rFonts w:ascii="楷体" w:eastAsia="楷体" w:hAnsi="楷体" w:hint="eastAsia"/>
          <w:sz w:val="32"/>
          <w:szCs w:val="32"/>
        </w:rPr>
        <w:t>1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hint="eastAsia"/>
          <w:sz w:val="32"/>
          <w:szCs w:val="32"/>
        </w:rPr>
        <w:t>比赛进行2轮，每轮4分钟，取较好的一轮成绩作为最终成绩。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/>
          <w:bCs/>
          <w:sz w:val="32"/>
          <w:szCs w:val="32"/>
        </w:rPr>
      </w:pPr>
      <w:r w:rsidRPr="00205638">
        <w:rPr>
          <w:rFonts w:ascii="楷体" w:eastAsia="楷体" w:hAnsi="楷体" w:hint="eastAsia"/>
          <w:sz w:val="32"/>
          <w:szCs w:val="32"/>
        </w:rPr>
        <w:t>2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hint="eastAsia"/>
          <w:bCs/>
          <w:sz w:val="32"/>
          <w:szCs w:val="32"/>
        </w:rPr>
        <w:t>比赛时采用叫号单独发车，</w:t>
      </w:r>
      <w:r w:rsidRPr="00205638">
        <w:rPr>
          <w:rFonts w:ascii="楷体" w:eastAsia="楷体" w:hAnsi="楷体" w:cs="宋体"/>
          <w:bCs/>
          <w:sz w:val="32"/>
          <w:szCs w:val="32"/>
        </w:rPr>
        <w:t>竞赛中禁止车辆之间发生任何形式的碰撞，选手有义务避免车辆发生任何碰撞。如某位选手因碰撞而获得优势，</w:t>
      </w:r>
      <w:r w:rsidRPr="00205638">
        <w:rPr>
          <w:rFonts w:ascii="楷体" w:eastAsia="楷体" w:hAnsi="楷体" w:cs="宋体" w:hint="eastAsia"/>
          <w:bCs/>
          <w:sz w:val="32"/>
          <w:szCs w:val="32"/>
        </w:rPr>
        <w:t>应</w:t>
      </w:r>
      <w:r w:rsidRPr="00205638">
        <w:rPr>
          <w:rFonts w:ascii="楷体" w:eastAsia="楷体" w:hAnsi="楷体" w:cs="宋体"/>
          <w:bCs/>
          <w:sz w:val="32"/>
          <w:szCs w:val="32"/>
        </w:rPr>
        <w:t>主动或在裁判提</w:t>
      </w:r>
      <w:r w:rsidRPr="00205638">
        <w:rPr>
          <w:rFonts w:ascii="楷体" w:eastAsia="楷体" w:hAnsi="楷体" w:cs="Times"/>
          <w:bCs/>
          <w:sz w:val="32"/>
          <w:szCs w:val="32"/>
        </w:rPr>
        <w:t>示后</w:t>
      </w:r>
      <w:r w:rsidRPr="00205638">
        <w:rPr>
          <w:rFonts w:ascii="楷体" w:eastAsia="楷体" w:hAnsi="楷体" w:cs="宋体"/>
          <w:bCs/>
          <w:sz w:val="32"/>
          <w:szCs w:val="32"/>
        </w:rPr>
        <w:t>让</w:t>
      </w:r>
      <w:r w:rsidRPr="00205638">
        <w:rPr>
          <w:rFonts w:ascii="楷体" w:eastAsia="楷体" w:hAnsi="楷体" w:cs="Times"/>
          <w:bCs/>
          <w:sz w:val="32"/>
          <w:szCs w:val="32"/>
        </w:rPr>
        <w:t>出</w:t>
      </w:r>
      <w:r w:rsidRPr="00205638">
        <w:rPr>
          <w:rFonts w:ascii="楷体" w:eastAsia="楷体" w:hAnsi="楷体" w:cs="宋体"/>
          <w:bCs/>
          <w:sz w:val="32"/>
          <w:szCs w:val="32"/>
        </w:rPr>
        <w:t>优势</w:t>
      </w:r>
      <w:r w:rsidRPr="00205638">
        <w:rPr>
          <w:rFonts w:ascii="楷体" w:eastAsia="楷体" w:hAnsi="楷体" w:cs="Times"/>
          <w:bCs/>
          <w:sz w:val="32"/>
          <w:szCs w:val="32"/>
        </w:rPr>
        <w:t>，如在裁判提醒后仍没有</w:t>
      </w:r>
      <w:r w:rsidRPr="00205638">
        <w:rPr>
          <w:rFonts w:ascii="楷体" w:eastAsia="楷体" w:hAnsi="楷体" w:cs="宋体"/>
          <w:bCs/>
          <w:sz w:val="32"/>
          <w:szCs w:val="32"/>
        </w:rPr>
        <w:t>让</w:t>
      </w:r>
      <w:r w:rsidRPr="00205638">
        <w:rPr>
          <w:rFonts w:ascii="楷体" w:eastAsia="楷体" w:hAnsi="楷体" w:cs="Times"/>
          <w:bCs/>
          <w:sz w:val="32"/>
          <w:szCs w:val="32"/>
        </w:rPr>
        <w:t>出其所</w:t>
      </w:r>
      <w:r w:rsidRPr="00205638">
        <w:rPr>
          <w:rFonts w:ascii="楷体" w:eastAsia="楷体" w:hAnsi="楷体" w:cs="宋体"/>
          <w:bCs/>
          <w:sz w:val="32"/>
          <w:szCs w:val="32"/>
        </w:rPr>
        <w:t>获</w:t>
      </w:r>
      <w:r w:rsidRPr="00205638">
        <w:rPr>
          <w:rFonts w:ascii="楷体" w:eastAsia="楷体" w:hAnsi="楷体" w:cs="Times"/>
          <w:bCs/>
          <w:sz w:val="32"/>
          <w:szCs w:val="32"/>
        </w:rPr>
        <w:t>得的</w:t>
      </w:r>
      <w:r w:rsidRPr="00205638">
        <w:rPr>
          <w:rFonts w:ascii="楷体" w:eastAsia="楷体" w:hAnsi="楷体" w:cs="宋体"/>
          <w:bCs/>
          <w:sz w:val="32"/>
          <w:szCs w:val="32"/>
        </w:rPr>
        <w:t>优势</w:t>
      </w:r>
      <w:r w:rsidRPr="00205638">
        <w:rPr>
          <w:rFonts w:ascii="楷体" w:eastAsia="楷体" w:hAnsi="楷体" w:cs="Times"/>
          <w:bCs/>
          <w:sz w:val="32"/>
          <w:szCs w:val="32"/>
        </w:rPr>
        <w:t>，</w:t>
      </w:r>
      <w:r w:rsidRPr="00205638">
        <w:rPr>
          <w:rFonts w:ascii="楷体" w:eastAsia="楷体" w:hAnsi="楷体" w:cs="宋体"/>
          <w:bCs/>
          <w:sz w:val="32"/>
          <w:szCs w:val="32"/>
        </w:rPr>
        <w:t>则</w:t>
      </w:r>
      <w:r w:rsidRPr="00205638">
        <w:rPr>
          <w:rFonts w:ascii="楷体" w:eastAsia="楷体" w:hAnsi="楷体" w:cs="Times"/>
          <w:bCs/>
          <w:sz w:val="32"/>
          <w:szCs w:val="32"/>
        </w:rPr>
        <w:t>将</w:t>
      </w:r>
      <w:r w:rsidRPr="00205638">
        <w:rPr>
          <w:rFonts w:ascii="楷体" w:eastAsia="楷体" w:hAnsi="楷体" w:cs="Times" w:hint="eastAsia"/>
          <w:bCs/>
          <w:sz w:val="32"/>
          <w:szCs w:val="32"/>
        </w:rPr>
        <w:t>视情形</w:t>
      </w:r>
      <w:r w:rsidRPr="00205638">
        <w:rPr>
          <w:rFonts w:ascii="楷体" w:eastAsia="楷体" w:hAnsi="楷体" w:cs="Times"/>
          <w:bCs/>
          <w:sz w:val="32"/>
          <w:szCs w:val="32"/>
        </w:rPr>
        <w:t>受到</w:t>
      </w:r>
      <w:r w:rsidRPr="00205638">
        <w:rPr>
          <w:rFonts w:ascii="楷体" w:eastAsia="楷体" w:hAnsi="楷体" w:cs="Times" w:hint="eastAsia"/>
          <w:bCs/>
          <w:sz w:val="32"/>
          <w:szCs w:val="32"/>
        </w:rPr>
        <w:t>相应</w:t>
      </w:r>
      <w:r w:rsidRPr="00205638">
        <w:rPr>
          <w:rFonts w:ascii="楷体" w:eastAsia="楷体" w:hAnsi="楷体" w:cs="宋体"/>
          <w:bCs/>
          <w:sz w:val="32"/>
          <w:szCs w:val="32"/>
        </w:rPr>
        <w:t>处罚</w:t>
      </w:r>
      <w:r w:rsidRPr="00205638">
        <w:rPr>
          <w:rFonts w:ascii="楷体" w:eastAsia="楷体" w:hAnsi="楷体" w:cs="Times"/>
          <w:bCs/>
          <w:sz w:val="32"/>
          <w:szCs w:val="32"/>
        </w:rPr>
        <w:t>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/>
          <w:sz w:val="32"/>
          <w:szCs w:val="32"/>
        </w:rPr>
      </w:pPr>
      <w:r w:rsidRPr="00205638">
        <w:rPr>
          <w:rFonts w:ascii="楷体" w:eastAsia="楷体" w:hAnsi="楷体" w:cs="Times" w:hint="eastAsia"/>
          <w:bCs/>
          <w:sz w:val="32"/>
          <w:szCs w:val="32"/>
        </w:rPr>
        <w:t>3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/>
          <w:sz w:val="32"/>
          <w:szCs w:val="32"/>
        </w:rPr>
        <w:t>竞赛中被套圈的车辆应主动避让快车，不得有阻碍快车超车的动作，在裁判发出提醒后，被套圈车辆应在3个弯道内让快车通过，违者将视情节轻重将给以处罚。</w:t>
      </w:r>
    </w:p>
    <w:p w:rsidR="00205638" w:rsidRPr="00205638" w:rsidRDefault="00205638" w:rsidP="00205638">
      <w:pPr>
        <w:pStyle w:val="a8"/>
        <w:shd w:val="clear" w:color="auto" w:fill="FFFFFF"/>
        <w:spacing w:before="0" w:beforeAutospacing="0" w:after="0" w:afterAutospacing="0" w:line="500" w:lineRule="exact"/>
        <w:ind w:firstLineChars="189" w:firstLine="605"/>
        <w:rPr>
          <w:rFonts w:ascii="楷体" w:eastAsia="楷体" w:hAnsi="楷体"/>
          <w:color w:val="000000"/>
          <w:sz w:val="32"/>
          <w:szCs w:val="32"/>
        </w:rPr>
      </w:pPr>
      <w:r w:rsidRPr="00205638">
        <w:rPr>
          <w:rFonts w:ascii="楷体" w:eastAsia="楷体" w:hAnsi="楷体" w:hint="eastAsia"/>
          <w:sz w:val="32"/>
          <w:szCs w:val="32"/>
        </w:rPr>
        <w:t>4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每站前</w:t>
      </w:r>
      <w:r w:rsidRPr="00205638">
        <w:rPr>
          <w:rFonts w:ascii="楷体" w:eastAsia="楷体" w:hAnsi="楷体"/>
          <w:color w:val="000000"/>
          <w:sz w:val="32"/>
          <w:szCs w:val="32"/>
        </w:rPr>
        <w:t>8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名车手可获</w:t>
      </w:r>
      <w:r w:rsidRPr="00205638">
        <w:rPr>
          <w:rFonts w:ascii="楷体" w:eastAsia="楷体" w:hAnsi="楷体"/>
          <w:color w:val="000000"/>
          <w:sz w:val="32"/>
          <w:szCs w:val="32"/>
        </w:rPr>
        <w:t>10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8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6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5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4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3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2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、</w:t>
      </w:r>
      <w:r w:rsidRPr="00205638">
        <w:rPr>
          <w:rFonts w:ascii="楷体" w:eastAsia="楷体" w:hAnsi="楷体"/>
          <w:color w:val="000000"/>
          <w:sz w:val="32"/>
          <w:szCs w:val="32"/>
        </w:rPr>
        <w:t>1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t>的积分，并由区青少年科技辅导员协会评出一、二、三等奖，现场颁奖；分站赛及最后总决赛结束后，积分多的车手将由区</w:t>
      </w:r>
      <w:r w:rsidRPr="00205638">
        <w:rPr>
          <w:rFonts w:ascii="楷体" w:eastAsia="楷体" w:hAnsi="楷体" w:hint="eastAsia"/>
          <w:color w:val="000000"/>
          <w:sz w:val="32"/>
          <w:szCs w:val="32"/>
        </w:rPr>
        <w:lastRenderedPageBreak/>
        <w:t>教育局、区科协评奖；同时积分多的车队将评年度最佳车队团体奖。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七、报名办法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1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报名参赛以学生组队形式进行,每所学校只能报一队,每队4-5名同学组成,其中女同学人数不少于1名。</w:t>
      </w:r>
    </w:p>
    <w:p w:rsidR="00205638" w:rsidRPr="00205638" w:rsidRDefault="00205638" w:rsidP="00205638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2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参赛各校请在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6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月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5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日12:00前完成报名工作,填写《2018年鄞州区“烈风”遥控车联赛报名表》,并及时将报名表发送到邮箱11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35548306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@qq.com,以便统筹安排,逾期视放弃。</w:t>
      </w:r>
    </w:p>
    <w:p w:rsidR="00205638" w:rsidRDefault="00205638" w:rsidP="00262484">
      <w:pPr>
        <w:shd w:val="clear" w:color="auto" w:fill="FFFFFF"/>
        <w:spacing w:line="435" w:lineRule="atLeast"/>
        <w:ind w:firstLine="480"/>
        <w:rPr>
          <w:rFonts w:ascii="楷体" w:eastAsia="楷体" w:hAnsi="楷体" w:cs="宋体"/>
          <w:color w:val="000000"/>
          <w:sz w:val="32"/>
          <w:szCs w:val="32"/>
        </w:rPr>
      </w:pP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3</w:t>
      </w:r>
      <w:r w:rsidRPr="00205638">
        <w:rPr>
          <w:rFonts w:ascii="楷体" w:eastAsia="楷体" w:hAnsi="楷体" w:cs="Arial Unicode MS" w:hint="eastAsia"/>
          <w:sz w:val="32"/>
          <w:szCs w:val="32"/>
        </w:rPr>
        <w:t>.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本站比赛联系人：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施杨君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，虚拟号</w:t>
      </w:r>
      <w:r w:rsidR="00262484">
        <w:rPr>
          <w:rFonts w:ascii="楷体" w:eastAsia="楷体" w:hAnsi="楷体" w:cs="宋体" w:hint="eastAsia"/>
          <w:color w:val="000000"/>
          <w:sz w:val="32"/>
          <w:szCs w:val="32"/>
        </w:rPr>
        <w:t>651834</w:t>
      </w:r>
      <w:r w:rsidRPr="00205638">
        <w:rPr>
          <w:rFonts w:ascii="楷体" w:eastAsia="楷体" w:hAnsi="楷体" w:cs="宋体" w:hint="eastAsia"/>
          <w:color w:val="000000"/>
          <w:sz w:val="32"/>
          <w:szCs w:val="32"/>
        </w:rPr>
        <w:t>。</w:t>
      </w:r>
    </w:p>
    <w:p w:rsidR="00FB0F0B" w:rsidRPr="00205638" w:rsidRDefault="00FB0F0B" w:rsidP="00205638">
      <w:pPr>
        <w:shd w:val="clear" w:color="auto" w:fill="FFFFFF"/>
        <w:spacing w:after="105" w:line="495" w:lineRule="atLeast"/>
        <w:rPr>
          <w:rFonts w:ascii="楷体" w:eastAsia="楷体" w:hAnsi="楷体" w:cs="宋体"/>
          <w:color w:val="00000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sz w:val="32"/>
          <w:szCs w:val="32"/>
        </w:rPr>
        <w:t xml:space="preserve">   附件：</w:t>
      </w:r>
      <w:r>
        <w:rPr>
          <w:rFonts w:ascii="微软雅黑" w:hAnsi="微软雅黑" w:cs="宋体" w:hint="eastAsia"/>
          <w:color w:val="000000"/>
          <w:sz w:val="30"/>
          <w:szCs w:val="30"/>
        </w:rPr>
        <w:t>2018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年</w:t>
      </w:r>
      <w:r w:rsidR="00262484">
        <w:rPr>
          <w:rFonts w:ascii="微软雅黑" w:hAnsi="微软雅黑" w:cs="宋体" w:hint="eastAsia"/>
          <w:color w:val="000000"/>
          <w:sz w:val="30"/>
          <w:szCs w:val="30"/>
        </w:rPr>
        <w:t>“烈风”</w:t>
      </w:r>
      <w:r>
        <w:rPr>
          <w:rFonts w:ascii="微软雅黑" w:hAnsi="微软雅黑" w:cs="宋体" w:hint="eastAsia"/>
          <w:color w:val="000000"/>
          <w:sz w:val="30"/>
          <w:szCs w:val="30"/>
        </w:rPr>
        <w:t>遥控车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联赛报名表</w:t>
      </w:r>
    </w:p>
    <w:p w:rsidR="00FB0F0B" w:rsidRDefault="00FB0F0B" w:rsidP="00205638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D268FA" w:rsidRPr="00441D25" w:rsidRDefault="00D268FA" w:rsidP="00205638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8E4A2F" w:rsidRDefault="008E4A2F" w:rsidP="00441D25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FB0F0B" w:rsidRPr="00FB0F0B" w:rsidRDefault="00FB0F0B" w:rsidP="00441D25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</w:p>
    <w:p w:rsidR="00D268FA" w:rsidRPr="00441D25" w:rsidRDefault="00D268FA" w:rsidP="00441D25">
      <w:pPr>
        <w:spacing w:line="360" w:lineRule="auto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鄞州区青少年科技辅导员协会</w:t>
      </w:r>
    </w:p>
    <w:p w:rsidR="00D268FA" w:rsidRPr="00441D25" w:rsidRDefault="00D268FA" w:rsidP="00FB0F0B">
      <w:pPr>
        <w:spacing w:line="360" w:lineRule="auto"/>
        <w:ind w:rightChars="377" w:right="792"/>
        <w:jc w:val="right"/>
        <w:rPr>
          <w:rFonts w:ascii="楷体_GB2312" w:eastAsia="楷体_GB2312" w:hAnsi="Times New Roman" w:cs="Times New Roman"/>
          <w:sz w:val="32"/>
          <w:szCs w:val="32"/>
        </w:rPr>
      </w:pPr>
      <w:r w:rsidRPr="00441D25">
        <w:rPr>
          <w:rFonts w:ascii="楷体_GB2312" w:eastAsia="楷体_GB2312" w:hAnsi="Times New Roman" w:cs="Times New Roman" w:hint="eastAsia"/>
          <w:sz w:val="32"/>
          <w:szCs w:val="32"/>
        </w:rPr>
        <w:t>2018年</w:t>
      </w:r>
      <w:r w:rsidR="00262484">
        <w:rPr>
          <w:rFonts w:ascii="楷体_GB2312" w:eastAsia="楷体_GB2312" w:hAnsi="Times New Roman" w:cs="Times New Roman" w:hint="eastAsia"/>
          <w:sz w:val="32"/>
          <w:szCs w:val="32"/>
        </w:rPr>
        <w:t>5</w:t>
      </w:r>
      <w:r w:rsidR="00FA06CD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4E6A33">
        <w:rPr>
          <w:rFonts w:ascii="楷体_GB2312" w:eastAsia="楷体_GB2312" w:hAnsi="Times New Roman" w:cs="Times New Roman" w:hint="eastAsia"/>
          <w:sz w:val="32"/>
          <w:szCs w:val="32"/>
        </w:rPr>
        <w:t>2</w:t>
      </w:r>
      <w:r w:rsidR="00262484">
        <w:rPr>
          <w:rFonts w:ascii="楷体_GB2312" w:eastAsia="楷体_GB2312" w:hAnsi="Times New Roman" w:cs="Times New Roman" w:hint="eastAsia"/>
          <w:sz w:val="32"/>
          <w:szCs w:val="32"/>
        </w:rPr>
        <w:t>8</w:t>
      </w:r>
      <w:r w:rsidR="004E6A33"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281D64" w:rsidRDefault="00281D64">
      <w:pPr>
        <w:widowControl/>
        <w:jc w:val="left"/>
      </w:pPr>
      <w:r>
        <w:br w:type="page"/>
      </w:r>
    </w:p>
    <w:p w:rsidR="00281D64" w:rsidRPr="006D1B9F" w:rsidRDefault="00281D64" w:rsidP="00281D64">
      <w:pPr>
        <w:jc w:val="left"/>
        <w:rPr>
          <w:sz w:val="28"/>
          <w:szCs w:val="28"/>
        </w:rPr>
      </w:pPr>
      <w:r>
        <w:rPr>
          <w:rFonts w:hint="eastAsia"/>
        </w:rPr>
        <w:lastRenderedPageBreak/>
        <w:t>附件：</w:t>
      </w:r>
    </w:p>
    <w:p w:rsidR="00FB0F0B" w:rsidRPr="00DD77F6" w:rsidRDefault="00FB0F0B" w:rsidP="00FB0F0B">
      <w:pPr>
        <w:shd w:val="clear" w:color="auto" w:fill="FFFFFF"/>
        <w:spacing w:line="495" w:lineRule="atLeast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30"/>
          <w:szCs w:val="30"/>
        </w:rPr>
        <w:t>2018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年</w:t>
      </w:r>
      <w:r w:rsidR="00262484">
        <w:rPr>
          <w:rFonts w:ascii="微软雅黑" w:hAnsi="微软雅黑" w:cs="宋体" w:hint="eastAsia"/>
          <w:color w:val="000000"/>
          <w:sz w:val="30"/>
          <w:szCs w:val="30"/>
        </w:rPr>
        <w:t>“</w:t>
      </w:r>
      <w:r>
        <w:rPr>
          <w:rFonts w:ascii="微软雅黑" w:hAnsi="微软雅黑" w:cs="宋体" w:hint="eastAsia"/>
          <w:color w:val="000000"/>
          <w:sz w:val="30"/>
          <w:szCs w:val="30"/>
        </w:rPr>
        <w:t>烈风</w:t>
      </w:r>
      <w:r w:rsidR="00262484">
        <w:rPr>
          <w:rFonts w:ascii="微软雅黑" w:hAnsi="微软雅黑" w:cs="宋体" w:hint="eastAsia"/>
          <w:color w:val="000000"/>
          <w:sz w:val="30"/>
          <w:szCs w:val="30"/>
        </w:rPr>
        <w:t>”</w:t>
      </w:r>
      <w:r>
        <w:rPr>
          <w:rFonts w:ascii="微软雅黑" w:hAnsi="微软雅黑" w:cs="宋体" w:hint="eastAsia"/>
          <w:color w:val="000000"/>
          <w:sz w:val="30"/>
          <w:szCs w:val="30"/>
        </w:rPr>
        <w:t>遥控车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联赛报名表</w:t>
      </w:r>
    </w:p>
    <w:p w:rsidR="00FB0F0B" w:rsidRDefault="00FB0F0B" w:rsidP="00FB0F0B">
      <w:pPr>
        <w:shd w:val="clear" w:color="auto" w:fill="FFFFFF"/>
        <w:spacing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  <w:r>
        <w:rPr>
          <w:rFonts w:ascii="微软雅黑" w:hAnsi="微软雅黑" w:cs="宋体" w:hint="eastAsia"/>
          <w:color w:val="000000"/>
          <w:sz w:val="30"/>
          <w:szCs w:val="30"/>
        </w:rPr>
        <w:t>（</w:t>
      </w:r>
      <w:r w:rsidR="00262484">
        <w:rPr>
          <w:rFonts w:ascii="微软雅黑" w:hAnsi="微软雅黑" w:cs="宋体" w:hint="eastAsia"/>
          <w:color w:val="000000"/>
          <w:sz w:val="30"/>
          <w:szCs w:val="30"/>
        </w:rPr>
        <w:t>王笙舲</w:t>
      </w:r>
      <w:r>
        <w:rPr>
          <w:rFonts w:ascii="微软雅黑" w:hAnsi="微软雅黑" w:cs="宋体" w:hint="eastAsia"/>
          <w:color w:val="000000"/>
          <w:sz w:val="30"/>
          <w:szCs w:val="30"/>
        </w:rPr>
        <w:t>小学</w:t>
      </w:r>
      <w:r w:rsidRPr="00DD77F6">
        <w:rPr>
          <w:rFonts w:ascii="微软雅黑" w:hAnsi="微软雅黑" w:cs="宋体" w:hint="eastAsia"/>
          <w:color w:val="000000"/>
          <w:sz w:val="30"/>
          <w:szCs w:val="30"/>
        </w:rPr>
        <w:t>站）</w:t>
      </w:r>
    </w:p>
    <w:tbl>
      <w:tblPr>
        <w:tblStyle w:val="a4"/>
        <w:tblW w:w="7903" w:type="dxa"/>
        <w:jc w:val="center"/>
        <w:tblLook w:val="04A0"/>
      </w:tblPr>
      <w:tblGrid>
        <w:gridCol w:w="959"/>
        <w:gridCol w:w="1984"/>
        <w:gridCol w:w="1420"/>
        <w:gridCol w:w="848"/>
        <w:gridCol w:w="1271"/>
        <w:gridCol w:w="1421"/>
      </w:tblGrid>
      <w:tr w:rsidR="00FB0F0B" w:rsidTr="00B312B3">
        <w:trPr>
          <w:jc w:val="center"/>
        </w:trPr>
        <w:tc>
          <w:tcPr>
            <w:tcW w:w="959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420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1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21" w:type="dxa"/>
          </w:tcPr>
          <w:p w:rsidR="00FB0F0B" w:rsidRPr="00A8087E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A8087E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  <w:tr w:rsidR="00FB0F0B" w:rsidTr="00B312B3">
        <w:trPr>
          <w:jc w:val="center"/>
        </w:trPr>
        <w:tc>
          <w:tcPr>
            <w:tcW w:w="959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</w:tcPr>
          <w:p w:rsidR="00FB0F0B" w:rsidRDefault="00FB0F0B" w:rsidP="007D1B09">
            <w:pPr>
              <w:spacing w:line="495" w:lineRule="atLeast"/>
              <w:jc w:val="center"/>
              <w:rPr>
                <w:rFonts w:ascii="微软雅黑" w:hAnsi="微软雅黑" w:cs="宋体"/>
                <w:color w:val="000000"/>
                <w:sz w:val="30"/>
                <w:szCs w:val="30"/>
              </w:rPr>
            </w:pPr>
          </w:p>
        </w:tc>
      </w:tr>
    </w:tbl>
    <w:p w:rsidR="00FB0F0B" w:rsidRDefault="00FB0F0B" w:rsidP="00FB0F0B">
      <w:pPr>
        <w:shd w:val="clear" w:color="auto" w:fill="FFFFFF"/>
        <w:spacing w:line="495" w:lineRule="atLeast"/>
        <w:ind w:firstLine="600"/>
        <w:jc w:val="center"/>
        <w:rPr>
          <w:rFonts w:ascii="微软雅黑" w:hAnsi="微软雅黑" w:cs="宋体"/>
          <w:color w:val="000000"/>
          <w:sz w:val="30"/>
          <w:szCs w:val="30"/>
        </w:rPr>
      </w:pPr>
      <w:r w:rsidRPr="00DD77F6">
        <w:rPr>
          <w:rFonts w:ascii="微软雅黑" w:hAnsi="微软雅黑" w:cs="宋体" w:hint="eastAsia"/>
          <w:color w:val="000000"/>
          <w:sz w:val="24"/>
          <w:szCs w:val="24"/>
        </w:rPr>
        <w:t>注：请在</w:t>
      </w:r>
      <w:r w:rsidR="00262484">
        <w:rPr>
          <w:rFonts w:ascii="微软雅黑" w:hAnsi="微软雅黑" w:cs="宋体" w:hint="eastAsia"/>
          <w:color w:val="000000"/>
          <w:sz w:val="24"/>
          <w:szCs w:val="24"/>
        </w:rPr>
        <w:t>6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月</w:t>
      </w:r>
      <w:r w:rsidR="00262484">
        <w:rPr>
          <w:rFonts w:ascii="微软雅黑" w:hAnsi="微软雅黑" w:cs="宋体" w:hint="eastAsia"/>
          <w:color w:val="000000"/>
          <w:sz w:val="24"/>
          <w:szCs w:val="24"/>
        </w:rPr>
        <w:t>5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日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12:00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前完成报名工作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,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填写《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201</w:t>
      </w:r>
      <w:r>
        <w:rPr>
          <w:rFonts w:ascii="微软雅黑" w:hAnsi="微软雅黑" w:cs="宋体" w:hint="eastAsia"/>
          <w:color w:val="000000"/>
          <w:sz w:val="24"/>
          <w:szCs w:val="24"/>
        </w:rPr>
        <w:t>8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年“</w:t>
      </w:r>
      <w:r>
        <w:rPr>
          <w:rFonts w:ascii="微软雅黑" w:hAnsi="微软雅黑" w:cs="宋体" w:hint="eastAsia"/>
          <w:color w:val="000000"/>
          <w:sz w:val="24"/>
          <w:szCs w:val="24"/>
        </w:rPr>
        <w:t>烈风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”</w:t>
      </w:r>
      <w:r>
        <w:rPr>
          <w:rFonts w:ascii="微软雅黑" w:hAnsi="微软雅黑" w:cs="宋体" w:hint="eastAsia"/>
          <w:color w:val="000000"/>
          <w:sz w:val="24"/>
          <w:szCs w:val="24"/>
        </w:rPr>
        <w:t>遥控车联赛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报名表》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,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及时将报名表发送到邮箱</w:t>
      </w:r>
      <w:r>
        <w:rPr>
          <w:rFonts w:ascii="微软雅黑" w:hAnsi="微软雅黑" w:cs="宋体" w:hint="eastAsia"/>
          <w:color w:val="000000"/>
          <w:sz w:val="24"/>
          <w:szCs w:val="24"/>
        </w:rPr>
        <w:t>11</w:t>
      </w:r>
      <w:r w:rsidR="00262484">
        <w:rPr>
          <w:rFonts w:ascii="微软雅黑" w:hAnsi="微软雅黑" w:cs="宋体" w:hint="eastAsia"/>
          <w:color w:val="000000"/>
          <w:sz w:val="24"/>
          <w:szCs w:val="24"/>
        </w:rPr>
        <w:t>35548306</w:t>
      </w:r>
      <w:r w:rsidRPr="00DD77F6">
        <w:rPr>
          <w:rFonts w:ascii="微软雅黑" w:hAnsi="微软雅黑" w:cs="宋体" w:hint="eastAsia"/>
          <w:color w:val="000000"/>
          <w:sz w:val="24"/>
          <w:szCs w:val="24"/>
        </w:rPr>
        <w:t>@qq.com</w:t>
      </w:r>
    </w:p>
    <w:p w:rsidR="0003758C" w:rsidRPr="0003758C" w:rsidRDefault="0003758C" w:rsidP="0003758C">
      <w:pPr>
        <w:jc w:val="center"/>
        <w:rPr>
          <w:sz w:val="28"/>
          <w:szCs w:val="28"/>
        </w:rPr>
      </w:pPr>
    </w:p>
    <w:sectPr w:rsidR="0003758C" w:rsidRPr="0003758C" w:rsidSect="00E2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28" w:rsidRDefault="00CD6C28" w:rsidP="00441D25">
      <w:r>
        <w:separator/>
      </w:r>
    </w:p>
  </w:endnote>
  <w:endnote w:type="continuationSeparator" w:id="0">
    <w:p w:rsidR="00CD6C28" w:rsidRDefault="00CD6C28" w:rsidP="0044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28" w:rsidRDefault="00CD6C28" w:rsidP="00441D25">
      <w:r>
        <w:separator/>
      </w:r>
    </w:p>
  </w:footnote>
  <w:footnote w:type="continuationSeparator" w:id="0">
    <w:p w:rsidR="00CD6C28" w:rsidRDefault="00CD6C28" w:rsidP="00441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692"/>
    <w:rsid w:val="000254EE"/>
    <w:rsid w:val="0003758C"/>
    <w:rsid w:val="000D5325"/>
    <w:rsid w:val="000E5FC3"/>
    <w:rsid w:val="00107C76"/>
    <w:rsid w:val="001509D8"/>
    <w:rsid w:val="00205638"/>
    <w:rsid w:val="00262484"/>
    <w:rsid w:val="00281D64"/>
    <w:rsid w:val="00293E1E"/>
    <w:rsid w:val="00341789"/>
    <w:rsid w:val="00364EE1"/>
    <w:rsid w:val="00394CA0"/>
    <w:rsid w:val="004067CC"/>
    <w:rsid w:val="00411CD3"/>
    <w:rsid w:val="00441D25"/>
    <w:rsid w:val="004E6A33"/>
    <w:rsid w:val="0050417D"/>
    <w:rsid w:val="00504557"/>
    <w:rsid w:val="0053525E"/>
    <w:rsid w:val="00555761"/>
    <w:rsid w:val="005C1AC7"/>
    <w:rsid w:val="006D1B9F"/>
    <w:rsid w:val="00703B39"/>
    <w:rsid w:val="007C44DB"/>
    <w:rsid w:val="008C629F"/>
    <w:rsid w:val="008E4A2F"/>
    <w:rsid w:val="00A32648"/>
    <w:rsid w:val="00AF482F"/>
    <w:rsid w:val="00B312B3"/>
    <w:rsid w:val="00B821B6"/>
    <w:rsid w:val="00C72B6E"/>
    <w:rsid w:val="00CD6C28"/>
    <w:rsid w:val="00CE0E64"/>
    <w:rsid w:val="00D268FA"/>
    <w:rsid w:val="00DC3B53"/>
    <w:rsid w:val="00E21D19"/>
    <w:rsid w:val="00ED0D3C"/>
    <w:rsid w:val="00F93692"/>
    <w:rsid w:val="00FA06CD"/>
    <w:rsid w:val="00FB0F0B"/>
    <w:rsid w:val="00FC1CF6"/>
    <w:rsid w:val="00F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1D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81D64"/>
  </w:style>
  <w:style w:type="table" w:styleId="a4">
    <w:name w:val="Table Grid"/>
    <w:basedOn w:val="a1"/>
    <w:uiPriority w:val="59"/>
    <w:rsid w:val="0028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4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1D2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1D2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041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417D"/>
    <w:rPr>
      <w:sz w:val="18"/>
      <w:szCs w:val="18"/>
    </w:rPr>
  </w:style>
  <w:style w:type="paragraph" w:styleId="a8">
    <w:name w:val="Normal (Web)"/>
    <w:basedOn w:val="a"/>
    <w:unhideWhenUsed/>
    <w:rsid w:val="00205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2018-04-23T04:36:00Z</dcterms:created>
  <dcterms:modified xsi:type="dcterms:W3CDTF">2018-05-28T07:31:00Z</dcterms:modified>
</cp:coreProperties>
</file>