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宁波市教育改革创新典型案例参考主题</w:t>
      </w:r>
      <w:bookmarkEnd w:id="0"/>
    </w:p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6"/>
        <w:widowControl/>
        <w:spacing w:before="0" w:beforeAutospacing="0" w:after="0" w:afterAutospacing="0"/>
        <w:ind w:firstLine="664" w:firstLineChars="200"/>
        <w:jc w:val="both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一、学校序列案例参考主题</w:t>
      </w:r>
    </w:p>
    <w:p>
      <w:pPr>
        <w:keepNext w:val="0"/>
        <w:keepLines w:val="0"/>
        <w:widowControl/>
        <w:suppressLineNumbers w:val="0"/>
        <w:ind w:firstLine="664" w:firstLineChars="200"/>
        <w:jc w:val="left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党组织领导的校长负责制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学校治理机制变革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托幼一体化办园、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品牌课程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建设、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集团化办园办学、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城乡义务教育教共体建设、普通高中特色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多样和协作发展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基础教育阶段学校跨区域帮扶、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特殊教育“成长+技能”式融合教育、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特教医教结合示范基地建设、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“教学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研评”一体化改革、学校“育人模式”变革、聚焦核心素养导向的教学改革实践创新、拔尖人才早期发现与培养、高效课堂精准作业改革、“双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减”课后服务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优质工程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推动教师专业成长、大中小学思政课教学一体化改革、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五育并举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新举措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、科学教育教学改进与机制创新、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“四位一体”的学生心理健康工作体系建设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学校家庭社会协同育人机制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建设、学生综合素质评价体系建设、师德师风建设、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新型学习空间打造、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利用人工智能技术促进教学教研改革、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中高职一体化人才培养、卓越工程师培养、“双高”计划实施情况、“双师型”教师队伍建设、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教育服务地方经济社会发展和乡村振兴、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高水平大学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和应用型本科高校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建设、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高校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学科专业建设、大学生就业创业等。</w:t>
      </w:r>
    </w:p>
    <w:p>
      <w:pPr>
        <w:pStyle w:val="6"/>
        <w:widowControl/>
        <w:spacing w:before="0" w:beforeAutospacing="0" w:after="0" w:afterAutospacing="0"/>
        <w:ind w:firstLine="664" w:firstLineChars="200"/>
        <w:jc w:val="both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二、综合序列案例参考主题</w:t>
      </w:r>
    </w:p>
    <w:p>
      <w:pPr>
        <w:pStyle w:val="6"/>
        <w:widowControl/>
        <w:spacing w:before="0" w:beforeAutospacing="0" w:after="0" w:afterAutospacing="0"/>
        <w:ind w:firstLine="664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6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党建引领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“四个学校”建设促进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学校治理能力提升、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学前教育普及普惠发展和品牌课程建设、缩小“四个差距”推进区域义务教育优质均衡发展、义务教育集团化办学和城乡共同体建设、随迁子女教育同城化、幼儿园和中小学校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招生入学制度改革、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小学强基初中强校建设、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“双减”提质减负、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校外教育培训治理、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普通高中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办学和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管理体制改革、普通高中办学协作体建设、优质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基础教育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资源扩容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基础教育综合改革实验区种子校建设、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新型研究型大学建设、技能型社会教育体系建设、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职业教育长学制人才培养改革、高等教育一流学科专业建设改革、新时代中小学体艺劳教育改革、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中小学科学教育创新、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/>
        </w:rPr>
        <w:t>数字化基础建设与教育数字化改革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校长教师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队伍建设、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/>
        </w:rPr>
        <w:t>学校办学自主权探索与实践、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“红色根脉”思政课改革、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五育并举融合的全方位育人体系构建、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教育督导体制机制改革、中小学教师评聘管理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交流轮岗和退出机制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改革、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基础教育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发展质量与学生综合素质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评价改革、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教育国际和区域交流合作与支援协作、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助力在甬高校毕业生就业创业、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家庭经济困难学生精准资助、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民办教育规范治理、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乡村教师发展、教育服务能力提升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精准教学研究、有组织的教科研推进机制、青少年阅读推广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、大中小学生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身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心健康服务体系、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学校家庭教育工作制度和机制等。</w:t>
      </w:r>
    </w:p>
    <w:p>
      <w:r>
        <w:rPr>
          <w:rFonts w:hint="eastAsia" w:ascii="仿宋_GB2312" w:hAnsi="宋体" w:eastAsia="仿宋_GB2312" w:cs="宋体"/>
          <w:color w:val="auto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6E53653F"/>
    <w:rsid w:val="6E53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3"/>
    <w:qFormat/>
    <w:uiPriority w:val="99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方正小标宋简体" w:hAnsi="Times New Roman" w:eastAsia="方正小标宋简体" w:cs="Times New Roman"/>
      <w:kern w:val="2"/>
      <w:sz w:val="44"/>
      <w:szCs w:val="24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2023-12-11T02:54:00Z</dcterms:created>
  <dc:creator>Lenovo</dc:creator>
  <cp:lastModifiedBy>Lenovo</cp:lastModifiedBy>
  <dcterms:modified xsi:type="dcterms:W3CDTF">2023-12-11T02:54:57Z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D861F1F08CCE43F29E6C4A2E27341644_11</vt:lpwstr>
  </property>
</Properties>
</file>